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50" w:type="dxa"/>
        <w:jc w:val="center"/>
        <w:tblCellSpacing w:w="15" w:type="dxa"/>
        <w:tblCellMar>
          <w:top w:w="15" w:type="dxa"/>
          <w:left w:w="15" w:type="dxa"/>
          <w:bottom w:w="15" w:type="dxa"/>
          <w:right w:w="15" w:type="dxa"/>
        </w:tblCellMar>
        <w:tblLook w:val="04A0"/>
      </w:tblPr>
      <w:tblGrid>
        <w:gridCol w:w="10650"/>
      </w:tblGrid>
      <w:tr w:rsidR="002A0922" w:rsidRPr="002A0922">
        <w:trPr>
          <w:tblCellSpacing w:w="15" w:type="dxa"/>
          <w:jc w:val="center"/>
        </w:trPr>
        <w:tc>
          <w:tcPr>
            <w:tcW w:w="0" w:type="auto"/>
            <w:vAlign w:val="center"/>
            <w:hideMark/>
          </w:tcPr>
          <w:p w:rsidR="005B6AC2" w:rsidRDefault="002A0922" w:rsidP="002A0922">
            <w:pPr>
              <w:widowControl/>
              <w:spacing w:line="495" w:lineRule="atLeast"/>
              <w:jc w:val="center"/>
              <w:rPr>
                <w:rFonts w:ascii="ˎ̥" w:eastAsia="宋体" w:hAnsi="ˎ̥" w:cs="宋体" w:hint="eastAsia"/>
                <w:b/>
                <w:bCs/>
                <w:color w:val="D30101"/>
                <w:kern w:val="0"/>
                <w:sz w:val="27"/>
                <w:szCs w:val="27"/>
              </w:rPr>
            </w:pPr>
            <w:r w:rsidRPr="002A0922">
              <w:rPr>
                <w:rFonts w:ascii="ˎ̥" w:eastAsia="宋体" w:hAnsi="ˎ̥" w:cs="宋体"/>
                <w:b/>
                <w:bCs/>
                <w:color w:val="D30101"/>
                <w:kern w:val="0"/>
                <w:sz w:val="27"/>
                <w:szCs w:val="27"/>
              </w:rPr>
              <w:t>国家高技术研究发展计划（</w:t>
            </w:r>
            <w:r w:rsidRPr="002A0922">
              <w:rPr>
                <w:rFonts w:ascii="ˎ̥" w:eastAsia="宋体" w:hAnsi="ˎ̥" w:cs="宋体"/>
                <w:b/>
                <w:bCs/>
                <w:color w:val="D30101"/>
                <w:kern w:val="0"/>
                <w:sz w:val="27"/>
                <w:szCs w:val="27"/>
              </w:rPr>
              <w:t>863</w:t>
            </w:r>
            <w:r w:rsidRPr="002A0922">
              <w:rPr>
                <w:rFonts w:ascii="ˎ̥" w:eastAsia="宋体" w:hAnsi="ˎ̥" w:cs="宋体"/>
                <w:b/>
                <w:bCs/>
                <w:color w:val="D30101"/>
                <w:kern w:val="0"/>
                <w:sz w:val="27"/>
                <w:szCs w:val="27"/>
              </w:rPr>
              <w:t>计划）、国家科技支撑计划</w:t>
            </w:r>
          </w:p>
          <w:p w:rsidR="002A0922" w:rsidRPr="002A0922" w:rsidRDefault="002A0922" w:rsidP="002A0922">
            <w:pPr>
              <w:widowControl/>
              <w:spacing w:line="495" w:lineRule="atLeast"/>
              <w:jc w:val="center"/>
              <w:rPr>
                <w:rFonts w:ascii="ˎ̥" w:eastAsia="宋体" w:hAnsi="ˎ̥" w:cs="宋体"/>
                <w:b/>
                <w:bCs/>
                <w:color w:val="D30101"/>
                <w:kern w:val="0"/>
                <w:sz w:val="27"/>
                <w:szCs w:val="27"/>
              </w:rPr>
            </w:pPr>
            <w:r w:rsidRPr="002A0922">
              <w:rPr>
                <w:rFonts w:ascii="ˎ̥" w:eastAsia="宋体" w:hAnsi="ˎ̥" w:cs="宋体"/>
                <w:b/>
                <w:bCs/>
                <w:color w:val="D30101"/>
                <w:kern w:val="0"/>
                <w:sz w:val="27"/>
                <w:szCs w:val="27"/>
              </w:rPr>
              <w:t>交通领域</w:t>
            </w:r>
            <w:r w:rsidRPr="002A0922">
              <w:rPr>
                <w:rFonts w:ascii="ˎ̥" w:eastAsia="宋体" w:hAnsi="ˎ̥" w:cs="宋体"/>
                <w:b/>
                <w:bCs/>
                <w:color w:val="D30101"/>
                <w:kern w:val="0"/>
                <w:sz w:val="27"/>
                <w:szCs w:val="27"/>
              </w:rPr>
              <w:t>2014</w:t>
            </w:r>
            <w:r w:rsidRPr="002A0922">
              <w:rPr>
                <w:rFonts w:ascii="ˎ̥" w:eastAsia="宋体" w:hAnsi="ˎ̥" w:cs="宋体"/>
                <w:b/>
                <w:bCs/>
                <w:color w:val="D30101"/>
                <w:kern w:val="0"/>
                <w:sz w:val="27"/>
                <w:szCs w:val="27"/>
              </w:rPr>
              <w:t>年备选项目征集指南</w:t>
            </w:r>
          </w:p>
        </w:tc>
      </w:tr>
    </w:tbl>
    <w:p w:rsidR="002A0922" w:rsidRDefault="002A0922" w:rsidP="002A0922">
      <w:pPr>
        <w:widowControl/>
        <w:jc w:val="center"/>
        <w:rPr>
          <w:rFonts w:ascii="宋体" w:eastAsia="宋体" w:hAnsi="宋体" w:cs="宋体" w:hint="eastAsia"/>
          <w:color w:val="444444"/>
          <w:kern w:val="0"/>
          <w:sz w:val="18"/>
          <w:szCs w:val="18"/>
        </w:rPr>
      </w:pPr>
      <w:r w:rsidRPr="002A0922">
        <w:rPr>
          <w:rFonts w:ascii="宋体" w:eastAsia="宋体" w:hAnsi="宋体" w:cs="宋体"/>
          <w:color w:val="444444"/>
          <w:kern w:val="0"/>
          <w:sz w:val="18"/>
          <w:szCs w:val="18"/>
        </w:rPr>
        <w:t>科技部门户网站 www.most.gov.cn 2013年04月16日</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一、指南方向与内容</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1. 大型客机设计前期预研技术</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1.1 双通道大型客机先进设计技术（前沿技术类、国拨经费限1000万元）</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研究双通道客机未来运营场景、气动-结构-飞行动力学建模技术，飞行与运营的数字虚拟仿真技术，适航符合性、飞行性能、燃油经济性等综合性能的评估方法，形成双通道客机概念方案的综合性能评估平台，进行演示验证。</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2.城市交通智能化控制技术</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2.1 环境友好型智能交通控制技术（前沿技术类、国拨经费限400万元） </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研究区域交通排放的监测及预测技术，交通运行与环境数据共享技术，建立交通运行与环境数据共享试验系统；研究降低交通延误和减少排放的交通信号智能化控制技术，研制低排放交通信号控制原型系统；进行实地测试验证。</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2.2 多模式地面公交网络高效协同控制技术（前沿技术类、国拨经费限300万元） </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研究多模式地面公交网络高效配置技术和客流组织技术，多层次地面公交主干网络绿波通行控制技术，形成多模式地面公交交叉口-站点-信号协同控制试验系统及装备，进行实地测试验证。</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3. 交通基础设施智能养护技术</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3.1 桥隧智能监测和诊断评价技术（前沿技术类、国拨经费限400万元） </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研究桥梁或隧道的长距离动态分布式监测及移动无线传感网络监测技术与方法，基于监测数据的桥梁、隧道病害智能诊断及安全性评价技术，并进行工程验证。</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4.纯电动客车技术</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lastRenderedPageBreak/>
        <w:t xml:space="preserve">　　4.1纯电动中型公务客车研发与示范（应用开发与集成示范类、国拨经费限1000万元、企业牵头申报、要求配套经费与国拨经费比例不低于2:1）</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研究纯电动中型公务客车整车集成及安全技术，整车成本控制技术，</w:t>
      </w:r>
      <w:proofErr w:type="gramStart"/>
      <w:r w:rsidRPr="002A0922">
        <w:rPr>
          <w:rFonts w:ascii="宋体" w:eastAsia="宋体" w:hAnsi="宋体" w:cs="宋体"/>
          <w:color w:val="555555"/>
          <w:kern w:val="0"/>
          <w:sz w:val="23"/>
          <w:szCs w:val="23"/>
        </w:rPr>
        <w:t>纯电驱动</w:t>
      </w:r>
      <w:proofErr w:type="gramEnd"/>
      <w:r w:rsidRPr="002A0922">
        <w:rPr>
          <w:rFonts w:ascii="宋体" w:eastAsia="宋体" w:hAnsi="宋体" w:cs="宋体"/>
          <w:color w:val="555555"/>
          <w:kern w:val="0"/>
          <w:sz w:val="23"/>
          <w:szCs w:val="23"/>
        </w:rPr>
        <w:t>动力系统技术平台，电能补充技术。开发纯电动中型公务客车并开展示范运行。</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5.船舶关键技术</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5.1高能效散货船关键技术开发（应用开发与集成示范类、国拨经费限1500万元、企业牵头申报、要求配套经费与国拨经费比例不低于1:1）</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研究船舶减阻的综合应用技术，清洁能源应用技术，船舶能量管理技术，船舶结构优化技术，新开发的高能效散货船比国际公约要求的能效设计基线提高20%以上，完成船模试验验证，取得船级社设计认可。</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5.2船舶中低速柴电混合动力系统关键技术开发（应用开发与集成示范类、国拨经费限2000万元、企业牵头申报、要求配套经费与国拨经费比例不低于1:1）</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研究船舶柴电混合动力系统的集成设计技术，船、柴油机、电机、螺旋桨匹配技术，控制系统优化技术，可逆轴带电机应用设计，开发柴电混合动力系统设计平台，研制系统样机，完成试验验证，取得船级社设计认可。</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6．城市智能交通联网联控技术</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6.1中等城市道路交通智能联网联控技术集成及示范（应用开发与集成示范类、国拨经费限4000万元、企业牵头申报、要求配套经费与国拨经费比例不低于2:1）</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针对中等城市的交通实际需求，研究交通状态感知技术，交叉口优化、干线协调及交通组织优化控制技术，交通信号智能联网联控和智能联网诱导等技术，研制城市交通智能联网联控平台系统及装备，在中等城市进行应用示范。</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7．重大交通基础设施建设技术</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7.1高海拔高寒地区高速公路建设技术（应用开发与集成示范类、国拨经费限3200万元、企业牵头申报、要求配套经费与国拨经费比例不低于2:1）</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针对青藏高原高寒缺氧、多年冻土、生态脆弱等工程致灾环境耦合作用的复杂性，研究高海拔高寒多年冻土地区高速公路布局及其冻土环境综合效应，多年冻土</w:t>
      </w:r>
      <w:r w:rsidRPr="002A0922">
        <w:rPr>
          <w:rFonts w:ascii="宋体" w:eastAsia="宋体" w:hAnsi="宋体" w:cs="宋体"/>
          <w:color w:val="555555"/>
          <w:kern w:val="0"/>
          <w:sz w:val="23"/>
          <w:szCs w:val="23"/>
        </w:rPr>
        <w:lastRenderedPageBreak/>
        <w:t>地区高速公路工程勘察技术，低温缺氧条件下道路安全设计技术，大尺度冻土路基变形控制与稳定技术，高性能路面结构及大尺度工程构造</w:t>
      </w:r>
      <w:proofErr w:type="gramStart"/>
      <w:r w:rsidRPr="002A0922">
        <w:rPr>
          <w:rFonts w:ascii="宋体" w:eastAsia="宋体" w:hAnsi="宋体" w:cs="宋体"/>
          <w:color w:val="555555"/>
          <w:kern w:val="0"/>
          <w:sz w:val="23"/>
          <w:szCs w:val="23"/>
        </w:rPr>
        <w:t>物风险</w:t>
      </w:r>
      <w:proofErr w:type="gramEnd"/>
      <w:r w:rsidRPr="002A0922">
        <w:rPr>
          <w:rFonts w:ascii="宋体" w:eastAsia="宋体" w:hAnsi="宋体" w:cs="宋体"/>
          <w:color w:val="555555"/>
          <w:kern w:val="0"/>
          <w:sz w:val="23"/>
          <w:szCs w:val="23"/>
        </w:rPr>
        <w:t>控制与建造技术，工程灾变监控与预警预报技术，工程建设环境保护技术，并进行工程示范。</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二、指南申报要求</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1.实施年限</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项目实施年限原则上为3年。</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2.经费额度</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国拨经费申报额度参见每个研究方向的具体要求。</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3.申报说明</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各申报单位统一按指南二级标题（如1.1）的研究方向进行申报，申报内容必须涵盖该二级标题下指南所列的全部内容。</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4.申报咨询</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联系人：黄玲、甄子健、金茂菁</w:t>
      </w:r>
    </w:p>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电 话：010-68319367、010-88374581、010-68343411</w:t>
      </w:r>
    </w:p>
    <w:p w:rsidR="002A0922" w:rsidRPr="002A0922" w:rsidRDefault="002A0922" w:rsidP="002A0922">
      <w:pPr>
        <w:widowControl/>
        <w:jc w:val="center"/>
        <w:rPr>
          <w:rFonts w:ascii="宋体" w:eastAsia="宋体" w:hAnsi="宋体" w:cs="宋体"/>
          <w:color w:val="444444"/>
          <w:kern w:val="0"/>
          <w:sz w:val="18"/>
          <w:szCs w:val="18"/>
        </w:rPr>
      </w:pPr>
      <w:r w:rsidRPr="002A0922">
        <w:rPr>
          <w:rFonts w:ascii="宋体" w:eastAsia="宋体" w:hAnsi="宋体" w:cs="宋体"/>
          <w:color w:val="555555"/>
          <w:kern w:val="0"/>
          <w:sz w:val="23"/>
          <w:szCs w:val="23"/>
        </w:rPr>
        <w:t xml:space="preserve">　　电子邮件：huangling@htrdc.com、zhenzj@htrdc.com、jin@htrdc.</w:t>
      </w:r>
      <w:proofErr w:type="gramStart"/>
      <w:r w:rsidRPr="002A0922">
        <w:rPr>
          <w:rFonts w:ascii="宋体" w:eastAsia="宋体" w:hAnsi="宋体" w:cs="宋体"/>
          <w:color w:val="555555"/>
          <w:kern w:val="0"/>
          <w:sz w:val="23"/>
          <w:szCs w:val="23"/>
        </w:rPr>
        <w:t>com</w:t>
      </w:r>
      <w:proofErr w:type="gramEnd"/>
    </w:p>
    <w:tbl>
      <w:tblPr>
        <w:tblW w:w="10710" w:type="dxa"/>
        <w:jc w:val="center"/>
        <w:tblCellSpacing w:w="0" w:type="dxa"/>
        <w:tblInd w:w="-45" w:type="dxa"/>
        <w:tblCellMar>
          <w:left w:w="0" w:type="dxa"/>
          <w:right w:w="0" w:type="dxa"/>
        </w:tblCellMar>
        <w:tblLook w:val="04A0"/>
      </w:tblPr>
      <w:tblGrid>
        <w:gridCol w:w="6573"/>
        <w:gridCol w:w="1521"/>
        <w:gridCol w:w="7"/>
        <w:gridCol w:w="2609"/>
      </w:tblGrid>
      <w:tr w:rsidR="002A0922" w:rsidRPr="002A0922" w:rsidTr="002A0922">
        <w:trPr>
          <w:gridBefore w:val="1"/>
          <w:gridAfter w:val="1"/>
          <w:wBefore w:w="5738" w:type="dxa"/>
          <w:wAfter w:w="2278" w:type="dxa"/>
          <w:trHeight w:val="60"/>
          <w:tblCellSpacing w:w="0" w:type="dxa"/>
          <w:jc w:val="center"/>
        </w:trPr>
        <w:tc>
          <w:tcPr>
            <w:tcW w:w="1328" w:type="dxa"/>
            <w:vAlign w:val="center"/>
            <w:hideMark/>
          </w:tcPr>
          <w:p w:rsidR="002A0922" w:rsidRPr="002A0922" w:rsidRDefault="002A0922" w:rsidP="002A0922">
            <w:pPr>
              <w:widowControl/>
              <w:jc w:val="center"/>
              <w:rPr>
                <w:rFonts w:ascii="宋体" w:eastAsia="宋体" w:hAnsi="宋体" w:cs="宋体"/>
                <w:color w:val="444444"/>
                <w:kern w:val="0"/>
                <w:sz w:val="18"/>
                <w:szCs w:val="18"/>
              </w:rPr>
            </w:pPr>
          </w:p>
        </w:tc>
        <w:tc>
          <w:tcPr>
            <w:tcW w:w="0" w:type="auto"/>
            <w:vAlign w:val="center"/>
            <w:hideMark/>
          </w:tcPr>
          <w:p w:rsidR="002A0922" w:rsidRPr="002A0922" w:rsidRDefault="002A0922" w:rsidP="002A0922">
            <w:pPr>
              <w:widowControl/>
              <w:jc w:val="left"/>
              <w:rPr>
                <w:rFonts w:ascii="宋体" w:eastAsia="宋体" w:hAnsi="宋体" w:cs="宋体"/>
                <w:color w:val="444444"/>
                <w:kern w:val="0"/>
                <w:sz w:val="6"/>
                <w:szCs w:val="18"/>
              </w:rPr>
            </w:pPr>
          </w:p>
        </w:tc>
      </w:tr>
      <w:tr w:rsidR="002A0922" w:rsidRPr="002A0922" w:rsidTr="002A0922">
        <w:trPr>
          <w:gridBefore w:val="1"/>
          <w:gridAfter w:val="1"/>
          <w:wBefore w:w="5738" w:type="dxa"/>
          <w:wAfter w:w="2278" w:type="dxa"/>
          <w:tblCellSpacing w:w="0" w:type="dxa"/>
          <w:jc w:val="center"/>
        </w:trPr>
        <w:tc>
          <w:tcPr>
            <w:tcW w:w="1328" w:type="dxa"/>
            <w:shd w:val="clear" w:color="auto" w:fill="E7E7E7"/>
            <w:vAlign w:val="center"/>
            <w:hideMark/>
          </w:tcPr>
          <w:p w:rsidR="002A0922" w:rsidRPr="002A0922" w:rsidRDefault="002A0922" w:rsidP="002A0922">
            <w:pPr>
              <w:widowControl/>
              <w:jc w:val="center"/>
              <w:rPr>
                <w:rFonts w:ascii="宋体" w:eastAsia="宋体" w:hAnsi="宋体" w:cs="宋体"/>
                <w:color w:val="444444"/>
                <w:kern w:val="0"/>
                <w:sz w:val="18"/>
                <w:szCs w:val="18"/>
              </w:rPr>
            </w:pPr>
          </w:p>
        </w:tc>
        <w:tc>
          <w:tcPr>
            <w:tcW w:w="0" w:type="auto"/>
            <w:vAlign w:val="center"/>
            <w:hideMark/>
          </w:tcPr>
          <w:p w:rsidR="002A0922" w:rsidRPr="002A0922" w:rsidRDefault="002A0922" w:rsidP="002A0922">
            <w:pPr>
              <w:widowControl/>
              <w:jc w:val="left"/>
              <w:rPr>
                <w:rFonts w:ascii="Times New Roman" w:eastAsia="Times New Roman" w:hAnsi="Times New Roman" w:cs="Times New Roman"/>
                <w:kern w:val="0"/>
                <w:sz w:val="20"/>
                <w:szCs w:val="20"/>
              </w:rPr>
            </w:pPr>
          </w:p>
        </w:tc>
      </w:tr>
      <w:tr w:rsidR="002A0922" w:rsidRPr="002A0922" w:rsidTr="002A0922">
        <w:trPr>
          <w:gridBefore w:val="1"/>
          <w:gridAfter w:val="1"/>
          <w:wBefore w:w="5738" w:type="dxa"/>
          <w:wAfter w:w="2278" w:type="dxa"/>
          <w:trHeight w:val="30"/>
          <w:tblCellSpacing w:w="0" w:type="dxa"/>
          <w:jc w:val="center"/>
        </w:trPr>
        <w:tc>
          <w:tcPr>
            <w:tcW w:w="1328" w:type="dxa"/>
            <w:shd w:val="clear" w:color="auto" w:fill="E7E7E7"/>
            <w:vAlign w:val="center"/>
            <w:hideMark/>
          </w:tcPr>
          <w:p w:rsidR="002A0922" w:rsidRPr="002A0922" w:rsidRDefault="002A0922" w:rsidP="002A0922">
            <w:pPr>
              <w:widowControl/>
              <w:jc w:val="center"/>
              <w:rPr>
                <w:rFonts w:ascii="宋体" w:eastAsia="宋体" w:hAnsi="宋体" w:cs="宋体"/>
                <w:color w:val="444444"/>
                <w:kern w:val="0"/>
                <w:sz w:val="18"/>
                <w:szCs w:val="18"/>
              </w:rPr>
            </w:pPr>
          </w:p>
        </w:tc>
        <w:tc>
          <w:tcPr>
            <w:tcW w:w="0" w:type="auto"/>
            <w:vAlign w:val="center"/>
            <w:hideMark/>
          </w:tcPr>
          <w:p w:rsidR="002A0922" w:rsidRPr="002A0922" w:rsidRDefault="002A0922" w:rsidP="002A0922">
            <w:pPr>
              <w:widowControl/>
              <w:jc w:val="left"/>
              <w:rPr>
                <w:rFonts w:ascii="宋体" w:eastAsia="宋体" w:hAnsi="宋体" w:cs="宋体"/>
                <w:color w:val="444444"/>
                <w:kern w:val="0"/>
                <w:sz w:val="4"/>
                <w:szCs w:val="18"/>
              </w:rPr>
            </w:pPr>
          </w:p>
        </w:tc>
      </w:tr>
      <w:tr w:rsidR="002A0922" w:rsidRPr="002A0922" w:rsidTr="002A0922">
        <w:tblPrEx>
          <w:tblCellSpacing w:w="15" w:type="dxa"/>
          <w:tblCellMar>
            <w:top w:w="15" w:type="dxa"/>
            <w:left w:w="15" w:type="dxa"/>
            <w:bottom w:w="15" w:type="dxa"/>
            <w:right w:w="15" w:type="dxa"/>
          </w:tblCellMar>
        </w:tblPrEx>
        <w:trPr>
          <w:tblCellSpacing w:w="15" w:type="dxa"/>
          <w:jc w:val="center"/>
        </w:trPr>
        <w:tc>
          <w:tcPr>
            <w:tcW w:w="10710" w:type="dxa"/>
            <w:gridSpan w:val="4"/>
            <w:vAlign w:val="center"/>
            <w:hideMark/>
          </w:tcPr>
          <w:p w:rsidR="002A0922" w:rsidRPr="002A0922" w:rsidRDefault="002A0922" w:rsidP="002A0922">
            <w:pPr>
              <w:widowControl/>
              <w:spacing w:before="100" w:beforeAutospacing="1" w:after="100" w:afterAutospacing="1" w:line="405" w:lineRule="atLeast"/>
              <w:jc w:val="left"/>
              <w:rPr>
                <w:rFonts w:ascii="宋体" w:eastAsia="宋体" w:hAnsi="宋体" w:cs="宋体"/>
                <w:color w:val="555555"/>
                <w:kern w:val="0"/>
                <w:sz w:val="23"/>
                <w:szCs w:val="23"/>
              </w:rPr>
            </w:pPr>
            <w:r w:rsidRPr="002A0922">
              <w:rPr>
                <w:rFonts w:ascii="宋体" w:eastAsia="宋体" w:hAnsi="宋体" w:cs="宋体"/>
                <w:color w:val="555555"/>
                <w:kern w:val="0"/>
                <w:sz w:val="23"/>
                <w:szCs w:val="23"/>
              </w:rPr>
              <w:t xml:space="preserve">　　</w:t>
            </w:r>
          </w:p>
        </w:tc>
      </w:tr>
    </w:tbl>
    <w:p w:rsidR="004947B2" w:rsidRPr="002A0922" w:rsidRDefault="005B6AC2" w:rsidP="002A0922"/>
    <w:sectPr w:rsidR="004947B2" w:rsidRPr="002A0922" w:rsidSect="00B12BA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A0922"/>
    <w:rsid w:val="002A0922"/>
    <w:rsid w:val="002F7D57"/>
    <w:rsid w:val="005B6AC2"/>
    <w:rsid w:val="00B12BAF"/>
    <w:rsid w:val="00F81B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B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092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142765787">
      <w:bodyDiv w:val="1"/>
      <w:marLeft w:val="0"/>
      <w:marRight w:val="0"/>
      <w:marTop w:val="0"/>
      <w:marBottom w:val="0"/>
      <w:divBdr>
        <w:top w:val="none" w:sz="0" w:space="0" w:color="auto"/>
        <w:left w:val="none" w:sz="0" w:space="0" w:color="auto"/>
        <w:bottom w:val="none" w:sz="0" w:space="0" w:color="auto"/>
        <w:right w:val="none" w:sz="0" w:space="0" w:color="auto"/>
      </w:divBdr>
      <w:divsChild>
        <w:div w:id="1309938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zhanghong</dc:creator>
  <cp:lastModifiedBy>zhanghong</cp:lastModifiedBy>
  <cp:revision>2</cp:revision>
  <dcterms:created xsi:type="dcterms:W3CDTF">2013-04-17T01:47:00Z</dcterms:created>
  <dcterms:modified xsi:type="dcterms:W3CDTF">2013-04-17T01:49:00Z</dcterms:modified>
</cp:coreProperties>
</file>